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5000" w:type="pct"/>
        <w:tblCellMar>
          <w:left w:w="0" w:type="dxa"/>
          <w:right w:w="0" w:type="dxa"/>
        </w:tblCellMar>
        <w:tblLook w:val="04A0"/>
      </w:tblPr>
      <w:tblGrid>
        <w:gridCol w:w="1665"/>
        <w:gridCol w:w="630"/>
        <w:gridCol w:w="450"/>
        <w:gridCol w:w="435"/>
        <w:gridCol w:w="1200"/>
        <w:gridCol w:w="6360"/>
      </w:tblGrid>
      <w:tr>
        <w:trPr>
          <w:cantSplit/>
          <w:trHeight w:val="0" w:hRule="auto"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Забалансовые счета</w:t>
            </w:r>
          </w:p>
        </w:tc>
      </w:tr>
      <w:tr>
        <w:trPr>
          <w:cantSplit/>
          <w:trHeight w:val="0" w:hRule="auto"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bottom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Недвижимое имущество, полученное в пользование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Недвижимое имущество в пользовании</w:t>
            </w:r>
          </w:p>
        </w:tc>
      </w:tr>
      <w:tr>
        <w:trPr>
          <w:cantSplit/>
          <w:trHeight w:val="0" w:hRule="auto"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bottom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Задолженность, невостребованная кредиторами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20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Задолженность, невостребованная кредиторами</w:t>
            </w:r>
          </w:p>
        </w:tc>
      </w:tr>
      <w:tr>
        <w:trPr>
          <w:cantSplit/>
          <w:trHeight w:val="0" w:hRule="auto"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bottom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Особо ценное движимое имущество, полученное в пользование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Особо ценное движимое имущество, полученное в пользование по договорам безвозмездного пользования</w:t>
            </w:r>
          </w:p>
        </w:tc>
      </w:tr>
      <w:tr>
        <w:trPr>
          <w:cantSplit/>
          <w:trHeight w:val="0" w:hRule="auto"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bottom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Материальные ценности на хранении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Основные средства, не признанные активом</w:t>
            </w:r>
          </w:p>
        </w:tc>
      </w:tr>
      <w:tr>
        <w:trPr>
          <w:cantSplit/>
          <w:trHeight w:val="0" w:hRule="auto"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bottom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Иное движимое имущество, переданное в безвозмездное пользование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ОС – иное движимое имущество, переданное в безвозмездное пользование</w:t>
            </w:r>
          </w:p>
        </w:tc>
      </w:tr>
      <w:tr>
        <w:trPr>
          <w:cantSplit/>
          <w:trHeight w:val="0" w:hRule="auto"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bottom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Сомнительная задолженность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Сомнительная задолженность</w:t>
            </w:r>
          </w:p>
        </w:tc>
      </w:tr>
      <w:tr>
        <w:trPr>
          <w:cantSplit/>
          <w:trHeight w:val="0" w:hRule="auto"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bottom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Иное движимое имущество на хранении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Материальные запасы – иное движимое имущество на хранении</w:t>
            </w:r>
          </w:p>
        </w:tc>
      </w:tr>
      <w:tr>
        <w:trPr>
          <w:cantSplit/>
          <w:trHeight w:val="0" w:hRule="auto"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bottom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Материальные ценности, выданные в личное пользование работникам (сотрудникам)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27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МЗ, выданные в личное пользование работникам (сотрудникам)</w:t>
            </w:r>
          </w:p>
        </w:tc>
      </w:tr>
      <w:tr>
        <w:trPr>
          <w:cantSplit/>
          <w:trHeight w:val="0" w:hRule="auto"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bottom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Особо ценное движимое имущество, переданное в безвозмездное пользование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ОС – особо ценное движимое имущество, переданное в безвозмездное пользование</w:t>
            </w:r>
          </w:p>
        </w:tc>
      </w:tr>
      <w:tr>
        <w:trPr>
          <w:cantSplit/>
          <w:trHeight w:val="0" w:hRule="auto"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bottom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Материальные ценности, полученные по централизованному снабжению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22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ОС, полученные по централизованному снабжению</w:t>
            </w:r>
          </w:p>
        </w:tc>
      </w:tr>
      <w:tr>
        <w:trPr>
          <w:cantSplit/>
          <w:trHeight w:val="0" w:hRule="auto"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bottom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Иное движимое имущество, полученное в пользование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Иное движимое имущество, полученное в пользование по договорам безвозмездного пользования</w:t>
            </w:r>
          </w:p>
        </w:tc>
      </w:tr>
      <w:tr>
        <w:trPr>
          <w:cantSplit/>
          <w:trHeight w:val="0" w:hRule="auto"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bottom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Недвижимое имущество, переданное в безвозмездное пользование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26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ОС – недвижимое имущество, переданное в безвозмездное пользование</w:t>
            </w:r>
          </w:p>
        </w:tc>
      </w:tr>
      <w:tr>
        <w:trPr>
          <w:cantSplit/>
          <w:trHeight w:val="0" w:hRule="auto"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bottom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Бланки строгой отчетности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Бланки строгой отчетности (в усл. ед.)</w:t>
            </w:r>
          </w:p>
        </w:tc>
      </w:tr>
      <w:tr>
        <w:trPr>
          <w:cantSplit/>
          <w:trHeight w:val="0" w:hRule="auto"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bottom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Награды, призы, кубки и ценные подарки, сувениры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Награды, призы, кубки и ценные подарки, сувениры по стоимости приобретения</w:t>
            </w:r>
          </w:p>
        </w:tc>
      </w:tr>
      <w:tr>
        <w:trPr>
          <w:cantSplit/>
          <w:trHeight w:val="0" w:hRule="auto"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bottom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Путевки неоплаченные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Путевки неоплаченные</w:t>
            </w:r>
          </w:p>
        </w:tc>
      </w:tr>
      <w:tr>
        <w:trPr>
          <w:cantSplit/>
          <w:trHeight w:val="0" w:hRule="auto"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bottom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Запасные части к транспортным средствам, выданные взамен изношенных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Запасные части к транспортным средствам, выданные взамен изношенных</w:t>
            </w:r>
          </w:p>
        </w:tc>
      </w:tr>
      <w:tr>
        <w:trPr>
          <w:cantSplit/>
          <w:trHeight w:val="0" w:hRule="auto"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bottom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Обеспечение исполнения обязательств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Обеспечение исполнения обязательств</w:t>
            </w:r>
          </w:p>
        </w:tc>
      </w:tr>
      <w:tr>
        <w:trPr>
          <w:cantSplit/>
          <w:trHeight w:val="0" w:hRule="auto"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bottom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Поступления денежных средств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Поступление денежных средств на счета учреждения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Поступление денежных средств в пути на счета учреждения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Поступления расчетов с финансовым органом по наличным денежным средствам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17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Поступления денежных средств в кассу учреждения</w:t>
            </w:r>
          </w:p>
        </w:tc>
      </w:tr>
      <w:tr>
        <w:trPr>
          <w:cantSplit/>
          <w:trHeight w:val="0" w:hRule="auto"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bottom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Выбытия денежных средств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Выбытия денежных средств со счетов учреждения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Выбытие денежных средств в пути на счета учреждения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Выбытия расчетов с финансовым органом по наличным денежным средствам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18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Выбытия денежных средств из кассы учреждения</w:t>
            </w:r>
          </w:p>
        </w:tc>
      </w:tr>
      <w:tr>
        <w:trPr>
          <w:cantSplit/>
          <w:trHeight w:val="0" w:hRule="auto"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bottom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Основные средства в эксплуатации – иное движимое имущество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Машины и оборудование - иное движимое имущество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Транспортные средства - иное движимое имущество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Инвентарь производственный и хозяйственный – иное движимое имущество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21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Прочие основные средства - иное движимое имущество</w:t>
            </w:r>
          </w:p>
        </w:tc>
      </w:tr>
      <w:tr>
        <w:trPr>
          <w:cantSplit/>
          <w:trHeight w:val="0" w:hRule="auto"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Счета управленческого учета</w:t>
            </w:r>
          </w:p>
        </w:tc>
      </w:tr>
      <w:tr>
        <w:trPr>
          <w:cantSplit/>
          <w:trHeight w:val="0" w:hRule="auto"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bottom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Возвраты прошлых лет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ВПЛ.11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Возвраты прошлых лет на лицевые счета в органе казначейства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ВПЛ.34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Возвраты прошлых лет в кассу</w:t>
            </w:r>
          </w:p>
        </w:tc>
      </w:tr>
      <w:tr>
        <w:trPr>
          <w:cantSplit/>
          <w:trHeight w:val="0" w:hRule="auto"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bottom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Исправление ошибок по забалансовым счетам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ИОЗ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Исправление ошибок по забалансовым счетам</w:t>
            </w:r>
          </w:p>
        </w:tc>
      </w:tr>
      <w:tr>
        <w:trPr>
          <w:cantSplit/>
          <w:trHeight w:val="0" w:hRule="auto"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bottom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Расчеты по авансам полученным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АП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Расчеты по авансам полученным</w:t>
            </w:r>
          </w:p>
        </w:tc>
      </w:tr>
      <w:tr>
        <w:trPr>
          <w:cantSplit/>
          <w:trHeight w:val="0" w:hRule="auto"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bottom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Касса учреждения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НД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Касса учреждения</w:t>
            </w:r>
          </w:p>
        </w:tc>
      </w:tr>
      <w:tr>
        <w:trPr>
          <w:cantSplit/>
          <w:trHeight w:val="0" w:hRule="auto"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bottom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Амортизация особо ценного имущества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ОЦИ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Амортизация особо ценного имущества</w:t>
            </w:r>
          </w:p>
        </w:tc>
      </w:tr>
      <w:tr>
        <w:trPr>
          <w:cantSplit/>
          <w:trHeight w:val="0" w:hRule="auto"/>
        </w:trPr>
        <w:tc>
          <w:tcPr>
            <w:tcW w:w="10740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bottom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Счета управленческого учета</w:t>
            </w:r>
          </w:p>
        </w:tc>
      </w:tr>
      <w:tr>
        <w:trPr>
          <w:cantSplit/>
          <w:trHeight w:val="0" w:hRule="auto"/>
        </w:trPr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2"/>
                <w:szCs w:val="12"/>
              </w:rPr>
              <w:t>УУР</w:t>
            </w:r>
          </w:p>
        </w:tc>
        <w:tc>
          <w:tcPr>
            <w:tcW w:w="4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4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12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center"/>
            </w:pPr>
          </w:p>
        </w:tc>
        <w:tc>
          <w:tcPr>
            <w:tcW w:w="63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2"/>
                <w:szCs w:val="12"/>
              </w:rPr>
              <w:t>Управленческий регистр</w:t>
            </w:r>
          </w:p>
        </w:tc>
      </w:tr>
    </w:tbl>
    <w:sectPr>
      <w:pgSz w:w="11907" w:h="16839" w:orient="portrait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normal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